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220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251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3062D5" w:rsidRDefault="00286833" w:rsidP="0025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62D5">
        <w:rPr>
          <w:rFonts w:ascii="Times New Roman" w:hAnsi="Times New Roman"/>
          <w:sz w:val="28"/>
          <w:szCs w:val="28"/>
        </w:rPr>
        <w:t xml:space="preserve">«___» </w:t>
      </w:r>
      <w:r w:rsidR="004464DB">
        <w:rPr>
          <w:rFonts w:ascii="Times New Roman" w:hAnsi="Times New Roman"/>
          <w:sz w:val="28"/>
          <w:szCs w:val="28"/>
        </w:rPr>
        <w:t>февраля</w:t>
      </w:r>
      <w:r w:rsidRPr="003062D5">
        <w:rPr>
          <w:rFonts w:ascii="Times New Roman" w:hAnsi="Times New Roman"/>
          <w:sz w:val="28"/>
          <w:szCs w:val="28"/>
        </w:rPr>
        <w:t xml:space="preserve"> 202</w:t>
      </w:r>
      <w:r w:rsidR="004C79D5">
        <w:rPr>
          <w:rFonts w:ascii="Times New Roman" w:hAnsi="Times New Roman"/>
          <w:sz w:val="28"/>
          <w:szCs w:val="28"/>
        </w:rPr>
        <w:t>3</w:t>
      </w:r>
      <w:r w:rsidRPr="003062D5">
        <w:rPr>
          <w:rFonts w:ascii="Times New Roman" w:hAnsi="Times New Roman"/>
          <w:sz w:val="28"/>
          <w:szCs w:val="28"/>
        </w:rPr>
        <w:t xml:space="preserve"> г.</w:t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Pr="003062D5">
        <w:rPr>
          <w:rFonts w:ascii="Times New Roman" w:hAnsi="Times New Roman"/>
          <w:sz w:val="28"/>
          <w:szCs w:val="28"/>
          <w:u w:val="single"/>
        </w:rPr>
        <w:t>___</w:t>
      </w:r>
    </w:p>
    <w:p w:rsidR="00C50508" w:rsidRPr="003062D5" w:rsidRDefault="00C50508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70" w:rsidRPr="009D26B5" w:rsidRDefault="00A96370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AB44FE" w:rsidRPr="009D26B5" w:rsidRDefault="00A96370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в </w:t>
      </w:r>
      <w:r w:rsidR="001E5659" w:rsidRPr="009D26B5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9D26B5" w:rsidRDefault="001E5659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Default="001E5659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9D26B5" w:rsidRDefault="001E5659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9D26B5" w:rsidRDefault="00A96370" w:rsidP="00251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9D26B5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6B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9D26B5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«Формирование комфортной городской среды территории муниципального образования г. Полярные Зори», утвержденную </w:t>
      </w:r>
      <w:r w:rsidR="00AB44FE" w:rsidRPr="009D26B5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9D26B5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9D26B5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28.10.2021 № 787 (</w:t>
      </w:r>
      <w:r w:rsidR="00585A53" w:rsidRPr="009D26B5">
        <w:rPr>
          <w:rFonts w:ascii="Times New Roman" w:eastAsia="Calibri" w:hAnsi="Times New Roman" w:cs="Times New Roman"/>
          <w:sz w:val="26"/>
          <w:szCs w:val="26"/>
        </w:rPr>
        <w:t xml:space="preserve">в редакции постановления администрации города Полярные Зори от </w:t>
      </w:r>
      <w:r w:rsidR="004C79D5" w:rsidRPr="009D26B5">
        <w:rPr>
          <w:rFonts w:ascii="Times New Roman" w:eastAsia="Calibri" w:hAnsi="Times New Roman" w:cs="Times New Roman"/>
          <w:sz w:val="26"/>
          <w:szCs w:val="26"/>
        </w:rPr>
        <w:t>30.12.2022</w:t>
      </w:r>
      <w:r w:rsidR="00236512" w:rsidRPr="009D26B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5A53" w:rsidRPr="009D26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9D5" w:rsidRPr="009D26B5">
        <w:rPr>
          <w:rFonts w:ascii="Times New Roman" w:eastAsia="Calibri" w:hAnsi="Times New Roman" w:cs="Times New Roman"/>
          <w:sz w:val="26"/>
          <w:szCs w:val="26"/>
        </w:rPr>
        <w:t>1254</w:t>
      </w:r>
      <w:r w:rsidR="00585A53" w:rsidRPr="009D26B5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9D26B5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9D26B5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9D26B5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286833" w:rsidRPr="009D26B5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6B5">
        <w:rPr>
          <w:rFonts w:ascii="Times New Roman" w:hAnsi="Times New Roman" w:cs="Times New Roman"/>
          <w:sz w:val="26"/>
          <w:szCs w:val="26"/>
        </w:rPr>
        <w:t>2</w:t>
      </w:r>
      <w:r w:rsidR="00505230" w:rsidRPr="009D26B5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9D26B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3062D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3062D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3062D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3062D5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2D5">
        <w:rPr>
          <w:rFonts w:ascii="Times New Roman" w:hAnsi="Times New Roman" w:cs="Times New Roman"/>
          <w:sz w:val="26"/>
          <w:szCs w:val="26"/>
        </w:rPr>
        <w:t>Г</w:t>
      </w:r>
      <w:r w:rsidR="00286833" w:rsidRPr="003062D5">
        <w:rPr>
          <w:rFonts w:ascii="Times New Roman" w:hAnsi="Times New Roman" w:cs="Times New Roman"/>
          <w:sz w:val="26"/>
          <w:szCs w:val="26"/>
        </w:rPr>
        <w:t>лав</w:t>
      </w:r>
      <w:r w:rsidRPr="003062D5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3062D5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3062D5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2D5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3062D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062D5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3062D5">
        <w:rPr>
          <w:rFonts w:ascii="Times New Roman" w:hAnsi="Times New Roman" w:cs="Times New Roman"/>
          <w:sz w:val="26"/>
          <w:szCs w:val="26"/>
        </w:rPr>
        <w:t>М.О.</w:t>
      </w:r>
      <w:r w:rsidR="00585A53" w:rsidRPr="003062D5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3062D5">
        <w:rPr>
          <w:rFonts w:ascii="Times New Roman" w:hAnsi="Times New Roman" w:cs="Times New Roman"/>
          <w:sz w:val="26"/>
          <w:szCs w:val="26"/>
        </w:rPr>
        <w:t>Пухов</w:t>
      </w:r>
    </w:p>
    <w:p w:rsidR="00220998" w:rsidRPr="003062D5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220998" w:rsidRPr="003062D5" w:rsidSect="001E5659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5A048E" w:rsidRPr="002515FF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2515F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2515FF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2515F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2515FF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2515FF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2515FF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2515FF">
        <w:rPr>
          <w:rFonts w:ascii="Times New Roman" w:hAnsi="Times New Roman"/>
          <w:sz w:val="26"/>
          <w:szCs w:val="26"/>
        </w:rPr>
        <w:t xml:space="preserve">от «___» </w:t>
      </w:r>
      <w:r w:rsidR="00BC1103" w:rsidRPr="002515FF">
        <w:rPr>
          <w:rFonts w:ascii="Times New Roman" w:hAnsi="Times New Roman"/>
          <w:sz w:val="26"/>
          <w:szCs w:val="26"/>
        </w:rPr>
        <w:t xml:space="preserve">февраля </w:t>
      </w:r>
      <w:r w:rsidR="00D27A39" w:rsidRPr="002515FF">
        <w:rPr>
          <w:rFonts w:ascii="Times New Roman" w:hAnsi="Times New Roman"/>
          <w:sz w:val="26"/>
          <w:szCs w:val="26"/>
        </w:rPr>
        <w:t xml:space="preserve"> </w:t>
      </w:r>
      <w:r w:rsidR="00BC1103" w:rsidRPr="002515FF">
        <w:rPr>
          <w:rFonts w:ascii="Times New Roman" w:hAnsi="Times New Roman"/>
          <w:sz w:val="26"/>
          <w:szCs w:val="26"/>
        </w:rPr>
        <w:t>2023</w:t>
      </w:r>
      <w:r w:rsidRPr="002515FF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3062D5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3062D5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3062D5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3062D5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3062D5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9D26B5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62628" w:rsidRPr="003062D5" w:rsidRDefault="004C79D5" w:rsidP="00D626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7390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E5659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</w:t>
      </w:r>
      <w:r w:rsidR="0027390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</w:t>
      </w:r>
      <w:r w:rsidR="001E5659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390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3 «Перечень мероприятий</w:t>
      </w:r>
      <w:bookmarkStart w:id="0" w:name="_GoBack"/>
      <w:bookmarkEnd w:id="0"/>
      <w:r w:rsidR="0027390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«Формирование комфортной городской среды территории муниципального образования г. Полярные Зори»</w:t>
      </w:r>
      <w:r w:rsidR="00A913B7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строк</w:t>
      </w:r>
      <w:r w:rsidR="00AB5CD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913B7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1.9., 1.10., 1.11, 1.12, 1.13,  «Итого по задаче 1», строк</w:t>
      </w:r>
      <w:r w:rsidR="00AB5CD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913B7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6B1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2.2, 2.6, </w:t>
      </w:r>
      <w:r w:rsidR="00A913B7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2.16 </w:t>
      </w:r>
      <w:r w:rsidR="0027390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13B7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«Итого по задаче 2», </w:t>
      </w:r>
      <w:r w:rsidR="00273904" w:rsidRPr="009D2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</w:t>
      </w:r>
      <w:r w:rsidR="00273904"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634" w:rsidRPr="003062D5" w:rsidRDefault="004F3634" w:rsidP="005E0A9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F3634" w:rsidRPr="003062D5" w:rsidSect="00FC10C4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1"/>
        <w:gridCol w:w="1133"/>
        <w:gridCol w:w="992"/>
        <w:gridCol w:w="1134"/>
        <w:gridCol w:w="992"/>
        <w:gridCol w:w="1134"/>
        <w:gridCol w:w="3544"/>
        <w:gridCol w:w="1985"/>
      </w:tblGrid>
      <w:tr w:rsidR="003062D5" w:rsidRPr="003062D5" w:rsidTr="004F3634">
        <w:trPr>
          <w:tblHeader/>
        </w:trPr>
        <w:tc>
          <w:tcPr>
            <w:tcW w:w="567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851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236" w:type="dxa"/>
            <w:gridSpan w:val="6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4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985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3062D5" w:rsidRPr="003062D5" w:rsidTr="004F3634">
        <w:trPr>
          <w:tblHeader/>
        </w:trPr>
        <w:tc>
          <w:tcPr>
            <w:tcW w:w="567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133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544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blHeader/>
        </w:trPr>
        <w:tc>
          <w:tcPr>
            <w:tcW w:w="567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062D5" w:rsidRPr="003062D5" w:rsidTr="004F3634">
        <w:trPr>
          <w:trHeight w:val="217"/>
        </w:trPr>
        <w:tc>
          <w:tcPr>
            <w:tcW w:w="15735" w:type="dxa"/>
            <w:gridSpan w:val="11"/>
          </w:tcPr>
          <w:p w:rsidR="00B90CBF" w:rsidRDefault="00B90CBF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  <w:p w:rsidR="004C79D5" w:rsidRPr="003062D5" w:rsidRDefault="004C79D5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993958">
        <w:trPr>
          <w:trHeight w:val="404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062D5">
              <w:rPr>
                <w:rFonts w:ascii="Times New Roman" w:hAnsi="Times New Roman"/>
                <w:sz w:val="20"/>
                <w:szCs w:val="20"/>
              </w:rPr>
              <w:t>.9.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37703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Белова, д.8,10,12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993958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450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377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30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Ломоносова, д.21-Строителей, д, 6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B126E8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37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7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3238D7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Курчатова д.17,19,21,23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993958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4C79D5" w:rsidRPr="003062D5" w:rsidTr="004F3634">
        <w:trPr>
          <w:trHeight w:val="405"/>
        </w:trPr>
        <w:tc>
          <w:tcPr>
            <w:tcW w:w="567" w:type="dxa"/>
            <w:vMerge/>
          </w:tcPr>
          <w:p w:rsidR="004C79D5" w:rsidRPr="003062D5" w:rsidRDefault="004C79D5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79D5" w:rsidRPr="003062D5" w:rsidRDefault="004C79D5" w:rsidP="003238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79D5" w:rsidRPr="003062D5" w:rsidRDefault="004C79D5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9D5" w:rsidRPr="003062D5" w:rsidRDefault="004C79D5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4C79D5" w:rsidRPr="003062D5" w:rsidRDefault="004C79D5" w:rsidP="00E021C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4C79D5" w:rsidRPr="003062D5" w:rsidRDefault="004C79D5" w:rsidP="00E021C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</w:tcPr>
          <w:p w:rsidR="004C79D5" w:rsidRPr="003062D5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C79D5" w:rsidRPr="003062D5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9D5" w:rsidRPr="003062D5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C79D5" w:rsidRPr="003062D5" w:rsidRDefault="004C79D5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79D5" w:rsidRPr="003062D5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5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552" w:type="dxa"/>
            <w:vMerge w:val="restart"/>
          </w:tcPr>
          <w:p w:rsidR="004F3634" w:rsidRPr="003062D5" w:rsidRDefault="0072396D" w:rsidP="00993958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Ломоносова, д.25-Партизан Заполярья, д.5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72396D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  <w:p w:rsidR="00760BB5" w:rsidRPr="003062D5" w:rsidRDefault="00760BB5" w:rsidP="007239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993958">
        <w:trPr>
          <w:trHeight w:val="617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4C79D5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55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552" w:type="dxa"/>
            <w:vMerge w:val="restart"/>
          </w:tcPr>
          <w:p w:rsidR="0072396D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Мира, д.3, н.п. Африканда</w:t>
            </w:r>
          </w:p>
          <w:p w:rsidR="004C79D5" w:rsidRPr="003062D5" w:rsidRDefault="004C79D5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4C79D5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Доля населения, проживающего в жилом фон-де с благоустроенными дворовыми 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территориями, от общего числа жителей 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420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396D" w:rsidRPr="003062D5" w:rsidRDefault="004C79D5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2396D" w:rsidRPr="004C79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Merge w:val="restart"/>
          </w:tcPr>
          <w:p w:rsidR="0072396D" w:rsidRPr="004C79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72396D" w:rsidRPr="004C79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4C79D5" w:rsidRDefault="004C79D5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34015,12</w:t>
            </w:r>
          </w:p>
        </w:tc>
        <w:tc>
          <w:tcPr>
            <w:tcW w:w="992" w:type="dxa"/>
          </w:tcPr>
          <w:p w:rsidR="0072396D" w:rsidRPr="004C79D5" w:rsidRDefault="004C79D5" w:rsidP="009640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12150,96</w:t>
            </w: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79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992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79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 w:val="restart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4C79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4C79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4C79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4C79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30515,12</w:t>
            </w:r>
          </w:p>
        </w:tc>
        <w:tc>
          <w:tcPr>
            <w:tcW w:w="992" w:type="dxa"/>
          </w:tcPr>
          <w:p w:rsidR="0072396D" w:rsidRPr="004C79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8650,96</w:t>
            </w: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79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992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79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4C79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4C79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4C79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4C79D5" w:rsidRDefault="004C79D5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72396D" w:rsidRPr="004C79D5" w:rsidRDefault="004C79D5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04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4C79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4C79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4C79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4C79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2396D" w:rsidRPr="004C79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04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4C79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4C79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4C79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72396D" w:rsidRPr="004C79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2396D" w:rsidRPr="004C79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4C79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FD" w:rsidRPr="003062D5" w:rsidTr="00BC3A15">
        <w:trPr>
          <w:trHeight w:val="443"/>
        </w:trPr>
        <w:tc>
          <w:tcPr>
            <w:tcW w:w="15735" w:type="dxa"/>
            <w:gridSpan w:val="11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2908DD" w:rsidRPr="003062D5" w:rsidTr="00BC3A15">
        <w:trPr>
          <w:trHeight w:val="279"/>
        </w:trPr>
        <w:tc>
          <w:tcPr>
            <w:tcW w:w="567" w:type="dxa"/>
            <w:vMerge w:val="restart"/>
          </w:tcPr>
          <w:p w:rsidR="002908DD" w:rsidRPr="003062D5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спортивно-парковой зоны в г. Полярные Зори Мурманской области</w:t>
            </w:r>
          </w:p>
        </w:tc>
        <w:tc>
          <w:tcPr>
            <w:tcW w:w="851" w:type="dxa"/>
            <w:vMerge w:val="restart"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851" w:type="dxa"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11833,29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4568,87</w:t>
            </w: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7 264,42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2908DD" w:rsidRPr="003062D5" w:rsidTr="00BC3A15">
        <w:trPr>
          <w:trHeight w:val="279"/>
        </w:trPr>
        <w:tc>
          <w:tcPr>
            <w:tcW w:w="567" w:type="dxa"/>
            <w:vMerge/>
          </w:tcPr>
          <w:p w:rsidR="002908DD" w:rsidRPr="003062D5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9 685,89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2 421,47</w:t>
            </w: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7 264,42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8DD" w:rsidRPr="003062D5" w:rsidTr="00BC3A15">
        <w:trPr>
          <w:trHeight w:val="279"/>
        </w:trPr>
        <w:tc>
          <w:tcPr>
            <w:tcW w:w="567" w:type="dxa"/>
            <w:vMerge/>
          </w:tcPr>
          <w:p w:rsidR="002908DD" w:rsidRPr="003062D5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</w:t>
            </w: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8DD" w:rsidRPr="003062D5" w:rsidTr="00BC3A15">
        <w:trPr>
          <w:trHeight w:val="513"/>
        </w:trPr>
        <w:tc>
          <w:tcPr>
            <w:tcW w:w="567" w:type="dxa"/>
            <w:vMerge w:val="restart"/>
          </w:tcPr>
          <w:p w:rsidR="002908DD" w:rsidRPr="003062D5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52" w:type="dxa"/>
            <w:vMerge w:val="restart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бульвара «Северное сияние 2.0.» в г. Полярные Зори Мурманской области ул. Партизан Заполярья и ул. Энергетиков (павильон – досуговый центр «Точка кипения», система охранного телевидения)</w:t>
            </w:r>
          </w:p>
        </w:tc>
        <w:tc>
          <w:tcPr>
            <w:tcW w:w="851" w:type="dxa"/>
            <w:vMerge w:val="restart"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851" w:type="dxa"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23286,68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21486,68</w:t>
            </w:r>
          </w:p>
        </w:tc>
        <w:tc>
          <w:tcPr>
            <w:tcW w:w="992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МБУК ДК н.п. Африканда, по результатам состоявшихся аукционов</w:t>
            </w:r>
          </w:p>
        </w:tc>
      </w:tr>
      <w:tr w:rsidR="002908DD" w:rsidRPr="003062D5" w:rsidTr="00C47DE3">
        <w:trPr>
          <w:trHeight w:val="1845"/>
        </w:trPr>
        <w:tc>
          <w:tcPr>
            <w:tcW w:w="567" w:type="dxa"/>
            <w:vMerge/>
          </w:tcPr>
          <w:p w:rsidR="002908DD" w:rsidRPr="003062D5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21486,68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21486,68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08DD" w:rsidRPr="003062D5" w:rsidTr="002908DD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08DD" w:rsidRPr="003062D5" w:rsidTr="00BC3A15">
        <w:trPr>
          <w:trHeight w:val="216"/>
        </w:trPr>
        <w:tc>
          <w:tcPr>
            <w:tcW w:w="567" w:type="dxa"/>
            <w:vMerge w:val="restart"/>
          </w:tcPr>
          <w:p w:rsidR="002908DD" w:rsidRPr="00A236DE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2552" w:type="dxa"/>
            <w:vMerge w:val="restart"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Прочее благоустройство общественных территорий</w:t>
            </w:r>
          </w:p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908DD" w:rsidRPr="00A236DE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851" w:type="dxa"/>
          </w:tcPr>
          <w:p w:rsidR="002908DD" w:rsidRPr="00A236DE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4352,6</w:t>
            </w:r>
          </w:p>
        </w:tc>
        <w:tc>
          <w:tcPr>
            <w:tcW w:w="992" w:type="dxa"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4352,6</w:t>
            </w:r>
          </w:p>
        </w:tc>
        <w:tc>
          <w:tcPr>
            <w:tcW w:w="1134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2908DD" w:rsidRPr="003062D5" w:rsidTr="00BC3A15">
        <w:trPr>
          <w:trHeight w:val="216"/>
        </w:trPr>
        <w:tc>
          <w:tcPr>
            <w:tcW w:w="567" w:type="dxa"/>
            <w:vMerge/>
          </w:tcPr>
          <w:p w:rsidR="002908DD" w:rsidRPr="00A236DE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8DD" w:rsidRPr="00A236DE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8DD" w:rsidRPr="00A236DE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A236DE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A236DE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08DD" w:rsidRPr="003062D5" w:rsidTr="00BC3A15">
        <w:trPr>
          <w:trHeight w:val="216"/>
        </w:trPr>
        <w:tc>
          <w:tcPr>
            <w:tcW w:w="567" w:type="dxa"/>
            <w:vMerge/>
          </w:tcPr>
          <w:p w:rsidR="002908DD" w:rsidRPr="00A236DE" w:rsidRDefault="002908D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908DD" w:rsidRPr="00A236DE" w:rsidRDefault="002908D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8DD" w:rsidRPr="00A236DE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8DD" w:rsidRPr="00A236DE" w:rsidRDefault="002908D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2908DD" w:rsidRPr="009D26B5" w:rsidRDefault="002908D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D26B5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</w:tcPr>
          <w:p w:rsidR="002908DD" w:rsidRPr="009D26B5" w:rsidRDefault="002908D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D26B5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2908DD" w:rsidRPr="009D26B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908DD" w:rsidRPr="009D26B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08DD" w:rsidRPr="00A236DE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908DD" w:rsidRPr="003062D5" w:rsidRDefault="002908D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0FD" w:rsidRPr="003062D5" w:rsidTr="00BC3A15">
        <w:trPr>
          <w:trHeight w:val="216"/>
        </w:trPr>
        <w:tc>
          <w:tcPr>
            <w:tcW w:w="567" w:type="dxa"/>
            <w:vMerge w:val="restart"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910FD" w:rsidRPr="00A236DE" w:rsidRDefault="007910F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0FD" w:rsidRPr="00A236DE" w:rsidRDefault="007910F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910FD" w:rsidRPr="009D26B5" w:rsidRDefault="00F456B1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D26B5">
              <w:rPr>
                <w:rFonts w:ascii="Times New Roman" w:hAnsi="Times New Roman"/>
                <w:sz w:val="18"/>
                <w:szCs w:val="18"/>
              </w:rPr>
              <w:t>292211,75</w:t>
            </w:r>
          </w:p>
        </w:tc>
        <w:tc>
          <w:tcPr>
            <w:tcW w:w="992" w:type="dxa"/>
          </w:tcPr>
          <w:p w:rsidR="007910FD" w:rsidRPr="009D26B5" w:rsidRDefault="001947A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D26B5">
              <w:rPr>
                <w:rFonts w:ascii="Times New Roman" w:hAnsi="Times New Roman"/>
                <w:sz w:val="18"/>
                <w:szCs w:val="18"/>
              </w:rPr>
              <w:t>120655,95</w:t>
            </w:r>
          </w:p>
        </w:tc>
        <w:tc>
          <w:tcPr>
            <w:tcW w:w="1134" w:type="dxa"/>
          </w:tcPr>
          <w:p w:rsidR="007910FD" w:rsidRPr="009D26B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6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118255,80</w:t>
            </w:r>
          </w:p>
        </w:tc>
        <w:tc>
          <w:tcPr>
            <w:tcW w:w="992" w:type="dxa"/>
          </w:tcPr>
          <w:p w:rsidR="007910FD" w:rsidRPr="009D26B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6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 w:val="restart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0FD" w:rsidRPr="003062D5" w:rsidTr="00BC3A15">
        <w:tc>
          <w:tcPr>
            <w:tcW w:w="567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0FD" w:rsidRPr="00A236DE" w:rsidRDefault="007910FD" w:rsidP="00BC3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0FD" w:rsidRPr="00A236DE" w:rsidRDefault="007910F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910FD" w:rsidRPr="009D26B5" w:rsidRDefault="007910F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D26B5">
              <w:rPr>
                <w:rFonts w:ascii="Times New Roman" w:hAnsi="Times New Roman"/>
                <w:sz w:val="18"/>
                <w:szCs w:val="18"/>
              </w:rPr>
              <w:t>213511,75</w:t>
            </w:r>
          </w:p>
        </w:tc>
        <w:tc>
          <w:tcPr>
            <w:tcW w:w="992" w:type="dxa"/>
          </w:tcPr>
          <w:p w:rsidR="007910FD" w:rsidRPr="009D26B5" w:rsidRDefault="007910F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D26B5">
              <w:rPr>
                <w:rFonts w:ascii="Times New Roman" w:hAnsi="Times New Roman"/>
                <w:sz w:val="18"/>
                <w:szCs w:val="18"/>
              </w:rPr>
              <w:t>41955,95</w:t>
            </w:r>
          </w:p>
        </w:tc>
        <w:tc>
          <w:tcPr>
            <w:tcW w:w="1134" w:type="dxa"/>
          </w:tcPr>
          <w:p w:rsidR="007910FD" w:rsidRPr="009D26B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6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118255,80</w:t>
            </w:r>
          </w:p>
        </w:tc>
        <w:tc>
          <w:tcPr>
            <w:tcW w:w="992" w:type="dxa"/>
          </w:tcPr>
          <w:p w:rsidR="007910FD" w:rsidRPr="009D26B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6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0FD" w:rsidRPr="003062D5" w:rsidTr="00BC3A15">
        <w:tc>
          <w:tcPr>
            <w:tcW w:w="567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0FD" w:rsidRPr="00A236DE" w:rsidRDefault="007910FD" w:rsidP="00BC3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0FD" w:rsidRPr="00A236DE" w:rsidRDefault="007910F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910FD" w:rsidRPr="00A236DE" w:rsidRDefault="006867B9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35700,00</w:t>
            </w:r>
          </w:p>
        </w:tc>
        <w:tc>
          <w:tcPr>
            <w:tcW w:w="992" w:type="dxa"/>
          </w:tcPr>
          <w:p w:rsidR="007910FD" w:rsidRPr="00A236DE" w:rsidRDefault="006867B9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35700,00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0FD" w:rsidRPr="003062D5" w:rsidTr="00BC3A15">
        <w:tc>
          <w:tcPr>
            <w:tcW w:w="567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0FD" w:rsidRPr="00A236DE" w:rsidRDefault="007910FD" w:rsidP="00BC3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0FD" w:rsidRPr="00A236DE" w:rsidRDefault="007910F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A236DE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A236DE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10FD" w:rsidRPr="003062D5" w:rsidTr="00BC3A15">
        <w:tc>
          <w:tcPr>
            <w:tcW w:w="567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10FD" w:rsidRPr="00A236DE" w:rsidRDefault="007910FD" w:rsidP="00BC3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0FD" w:rsidRPr="00A236DE" w:rsidRDefault="007910FD" w:rsidP="00BC3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10FD" w:rsidRPr="00A236DE" w:rsidRDefault="007910FD" w:rsidP="00BC3A1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6D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A236DE">
              <w:rPr>
                <w:rFonts w:ascii="Times New Roman" w:hAnsi="Times New Roman"/>
                <w:sz w:val="18"/>
                <w:szCs w:val="18"/>
              </w:rPr>
              <w:t>29500,00</w:t>
            </w:r>
          </w:p>
        </w:tc>
        <w:tc>
          <w:tcPr>
            <w:tcW w:w="992" w:type="dxa"/>
          </w:tcPr>
          <w:p w:rsidR="007910FD" w:rsidRPr="00A236DE" w:rsidRDefault="007910FD" w:rsidP="00BC3A1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A236DE">
              <w:rPr>
                <w:rFonts w:ascii="Times New Roman" w:hAnsi="Times New Roman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910FD" w:rsidRPr="00A236DE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36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910FD" w:rsidRPr="003062D5" w:rsidRDefault="007910FD" w:rsidP="00BC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10FD" w:rsidRDefault="007910FD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10FD" w:rsidSect="00FC10C4"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B6" w:rsidRDefault="007214B6" w:rsidP="0051503F">
      <w:pPr>
        <w:spacing w:after="0" w:line="240" w:lineRule="auto"/>
      </w:pPr>
      <w:r>
        <w:separator/>
      </w:r>
    </w:p>
  </w:endnote>
  <w:endnote w:type="continuationSeparator" w:id="0">
    <w:p w:rsidR="007214B6" w:rsidRDefault="007214B6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B6" w:rsidRDefault="007214B6" w:rsidP="0051503F">
      <w:pPr>
        <w:spacing w:after="0" w:line="240" w:lineRule="auto"/>
      </w:pPr>
      <w:r>
        <w:separator/>
      </w:r>
    </w:p>
  </w:footnote>
  <w:footnote w:type="continuationSeparator" w:id="0">
    <w:p w:rsidR="007214B6" w:rsidRDefault="007214B6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 w15:restartNumberingAfterBreak="0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9" w15:restartNumberingAfterBreak="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3FF2"/>
    <w:rsid w:val="00034A5D"/>
    <w:rsid w:val="00042C41"/>
    <w:rsid w:val="000430F0"/>
    <w:rsid w:val="000436F3"/>
    <w:rsid w:val="00056A15"/>
    <w:rsid w:val="00056A36"/>
    <w:rsid w:val="00060AAA"/>
    <w:rsid w:val="00062680"/>
    <w:rsid w:val="00063858"/>
    <w:rsid w:val="00065F5A"/>
    <w:rsid w:val="00066B96"/>
    <w:rsid w:val="000715D7"/>
    <w:rsid w:val="00082D14"/>
    <w:rsid w:val="0008301F"/>
    <w:rsid w:val="00083950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60F"/>
    <w:rsid w:val="000B742A"/>
    <w:rsid w:val="000C0AD1"/>
    <w:rsid w:val="000C2DDE"/>
    <w:rsid w:val="000C4937"/>
    <w:rsid w:val="000C4B40"/>
    <w:rsid w:val="000C4D59"/>
    <w:rsid w:val="000E0A3C"/>
    <w:rsid w:val="000F096E"/>
    <w:rsid w:val="000F16FC"/>
    <w:rsid w:val="000F493B"/>
    <w:rsid w:val="0010328C"/>
    <w:rsid w:val="0010343C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4425"/>
    <w:rsid w:val="0016630F"/>
    <w:rsid w:val="00166F34"/>
    <w:rsid w:val="001839E5"/>
    <w:rsid w:val="00185ADA"/>
    <w:rsid w:val="001915EC"/>
    <w:rsid w:val="00191BA6"/>
    <w:rsid w:val="001947AD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F94"/>
    <w:rsid w:val="002056B6"/>
    <w:rsid w:val="002106CE"/>
    <w:rsid w:val="00211948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515FF"/>
    <w:rsid w:val="00252A18"/>
    <w:rsid w:val="00253772"/>
    <w:rsid w:val="00256008"/>
    <w:rsid w:val="002567DC"/>
    <w:rsid w:val="00264C47"/>
    <w:rsid w:val="00266DC5"/>
    <w:rsid w:val="002704F8"/>
    <w:rsid w:val="00270A79"/>
    <w:rsid w:val="00273629"/>
    <w:rsid w:val="00273904"/>
    <w:rsid w:val="0027578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062D5"/>
    <w:rsid w:val="0031294C"/>
    <w:rsid w:val="003129E0"/>
    <w:rsid w:val="00313111"/>
    <w:rsid w:val="003150A7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64E0"/>
    <w:rsid w:val="0036676C"/>
    <w:rsid w:val="0037703B"/>
    <w:rsid w:val="00377E58"/>
    <w:rsid w:val="00383073"/>
    <w:rsid w:val="00383530"/>
    <w:rsid w:val="00392A10"/>
    <w:rsid w:val="00394083"/>
    <w:rsid w:val="00396720"/>
    <w:rsid w:val="00396981"/>
    <w:rsid w:val="003A576D"/>
    <w:rsid w:val="003A586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40192"/>
    <w:rsid w:val="004446E9"/>
    <w:rsid w:val="004464DB"/>
    <w:rsid w:val="00446A49"/>
    <w:rsid w:val="004501CE"/>
    <w:rsid w:val="00450658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4D9C"/>
    <w:rsid w:val="004A5030"/>
    <w:rsid w:val="004A5CB5"/>
    <w:rsid w:val="004B33D5"/>
    <w:rsid w:val="004B4619"/>
    <w:rsid w:val="004B6140"/>
    <w:rsid w:val="004B6502"/>
    <w:rsid w:val="004C7017"/>
    <w:rsid w:val="004C79D5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8A"/>
    <w:rsid w:val="00505230"/>
    <w:rsid w:val="00506E83"/>
    <w:rsid w:val="00510026"/>
    <w:rsid w:val="00511BDA"/>
    <w:rsid w:val="00511D4F"/>
    <w:rsid w:val="0051503F"/>
    <w:rsid w:val="0051676F"/>
    <w:rsid w:val="005272F6"/>
    <w:rsid w:val="00527913"/>
    <w:rsid w:val="00541C44"/>
    <w:rsid w:val="005431A3"/>
    <w:rsid w:val="00543501"/>
    <w:rsid w:val="005508E7"/>
    <w:rsid w:val="00551766"/>
    <w:rsid w:val="005538B4"/>
    <w:rsid w:val="005544E6"/>
    <w:rsid w:val="0055476F"/>
    <w:rsid w:val="00556A2E"/>
    <w:rsid w:val="00557B21"/>
    <w:rsid w:val="00557FA7"/>
    <w:rsid w:val="00560B81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64D8"/>
    <w:rsid w:val="005D07A1"/>
    <w:rsid w:val="005D3911"/>
    <w:rsid w:val="005D55B8"/>
    <w:rsid w:val="005D69AD"/>
    <w:rsid w:val="005D70EF"/>
    <w:rsid w:val="005E0A95"/>
    <w:rsid w:val="005F30DD"/>
    <w:rsid w:val="005F4DB8"/>
    <w:rsid w:val="005F7B84"/>
    <w:rsid w:val="00601426"/>
    <w:rsid w:val="006031D1"/>
    <w:rsid w:val="0060568A"/>
    <w:rsid w:val="006135B9"/>
    <w:rsid w:val="00613A2E"/>
    <w:rsid w:val="006147C7"/>
    <w:rsid w:val="00616B31"/>
    <w:rsid w:val="00620E67"/>
    <w:rsid w:val="00632FBE"/>
    <w:rsid w:val="0063662C"/>
    <w:rsid w:val="00642680"/>
    <w:rsid w:val="00642938"/>
    <w:rsid w:val="00646A24"/>
    <w:rsid w:val="00646A7F"/>
    <w:rsid w:val="00650E9F"/>
    <w:rsid w:val="00650EE6"/>
    <w:rsid w:val="006547CE"/>
    <w:rsid w:val="00654BA8"/>
    <w:rsid w:val="00654DD3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586E"/>
    <w:rsid w:val="006B4D33"/>
    <w:rsid w:val="006B7B5A"/>
    <w:rsid w:val="006C27E6"/>
    <w:rsid w:val="006C2C0F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42230"/>
    <w:rsid w:val="00746886"/>
    <w:rsid w:val="00760526"/>
    <w:rsid w:val="00760BB5"/>
    <w:rsid w:val="00765994"/>
    <w:rsid w:val="00766258"/>
    <w:rsid w:val="00766DAE"/>
    <w:rsid w:val="00775D3A"/>
    <w:rsid w:val="00775EBD"/>
    <w:rsid w:val="0077693E"/>
    <w:rsid w:val="00777ACA"/>
    <w:rsid w:val="00790829"/>
    <w:rsid w:val="007910FD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C1C1F"/>
    <w:rsid w:val="007C2E11"/>
    <w:rsid w:val="007C573D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550CD"/>
    <w:rsid w:val="00856112"/>
    <w:rsid w:val="00856978"/>
    <w:rsid w:val="00861A5C"/>
    <w:rsid w:val="00871689"/>
    <w:rsid w:val="00877113"/>
    <w:rsid w:val="00881A74"/>
    <w:rsid w:val="0088258B"/>
    <w:rsid w:val="00886C25"/>
    <w:rsid w:val="00895A2C"/>
    <w:rsid w:val="008A120C"/>
    <w:rsid w:val="008A2568"/>
    <w:rsid w:val="008B027B"/>
    <w:rsid w:val="008B12CD"/>
    <w:rsid w:val="008B26DC"/>
    <w:rsid w:val="008C1DAD"/>
    <w:rsid w:val="008C3F77"/>
    <w:rsid w:val="008D080F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572D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36DE"/>
    <w:rsid w:val="00A24D9E"/>
    <w:rsid w:val="00A26565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82614"/>
    <w:rsid w:val="00B853EB"/>
    <w:rsid w:val="00B90CBF"/>
    <w:rsid w:val="00B913C1"/>
    <w:rsid w:val="00BA1CA3"/>
    <w:rsid w:val="00BA436A"/>
    <w:rsid w:val="00BA63AB"/>
    <w:rsid w:val="00BB5F5B"/>
    <w:rsid w:val="00BB7792"/>
    <w:rsid w:val="00BC1103"/>
    <w:rsid w:val="00BD0348"/>
    <w:rsid w:val="00BD3F1E"/>
    <w:rsid w:val="00BD7E90"/>
    <w:rsid w:val="00BE281C"/>
    <w:rsid w:val="00BE5215"/>
    <w:rsid w:val="00BE6478"/>
    <w:rsid w:val="00BF1632"/>
    <w:rsid w:val="00BF64DA"/>
    <w:rsid w:val="00C07903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4209E"/>
    <w:rsid w:val="00C4559C"/>
    <w:rsid w:val="00C45D0B"/>
    <w:rsid w:val="00C50508"/>
    <w:rsid w:val="00C56FFD"/>
    <w:rsid w:val="00C609B0"/>
    <w:rsid w:val="00C703F3"/>
    <w:rsid w:val="00C73A2A"/>
    <w:rsid w:val="00C77B04"/>
    <w:rsid w:val="00C83D23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240F"/>
    <w:rsid w:val="00CD7187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37394"/>
    <w:rsid w:val="00D41448"/>
    <w:rsid w:val="00D42EF5"/>
    <w:rsid w:val="00D43BDF"/>
    <w:rsid w:val="00D45764"/>
    <w:rsid w:val="00D46003"/>
    <w:rsid w:val="00D4700A"/>
    <w:rsid w:val="00D47799"/>
    <w:rsid w:val="00D47B87"/>
    <w:rsid w:val="00D520F0"/>
    <w:rsid w:val="00D62628"/>
    <w:rsid w:val="00D66CAE"/>
    <w:rsid w:val="00D67AF6"/>
    <w:rsid w:val="00D67FF1"/>
    <w:rsid w:val="00D8397C"/>
    <w:rsid w:val="00D852FE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E009F"/>
    <w:rsid w:val="00DE1FF8"/>
    <w:rsid w:val="00DE50CD"/>
    <w:rsid w:val="00DE79AF"/>
    <w:rsid w:val="00DF07E9"/>
    <w:rsid w:val="00DF0863"/>
    <w:rsid w:val="00DF232F"/>
    <w:rsid w:val="00DF278E"/>
    <w:rsid w:val="00DF2E90"/>
    <w:rsid w:val="00E04C04"/>
    <w:rsid w:val="00E06756"/>
    <w:rsid w:val="00E11108"/>
    <w:rsid w:val="00E13DD2"/>
    <w:rsid w:val="00E16ED1"/>
    <w:rsid w:val="00E26E54"/>
    <w:rsid w:val="00E2783C"/>
    <w:rsid w:val="00E31551"/>
    <w:rsid w:val="00E319AF"/>
    <w:rsid w:val="00E334E4"/>
    <w:rsid w:val="00E34433"/>
    <w:rsid w:val="00E360F2"/>
    <w:rsid w:val="00E37F08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8AC"/>
    <w:rsid w:val="00ED3EFC"/>
    <w:rsid w:val="00ED55AF"/>
    <w:rsid w:val="00ED6090"/>
    <w:rsid w:val="00EE0EC3"/>
    <w:rsid w:val="00EE2213"/>
    <w:rsid w:val="00EE3003"/>
    <w:rsid w:val="00EE5FFE"/>
    <w:rsid w:val="00EF47A2"/>
    <w:rsid w:val="00EF56F4"/>
    <w:rsid w:val="00EF5BF9"/>
    <w:rsid w:val="00EF72F6"/>
    <w:rsid w:val="00F02441"/>
    <w:rsid w:val="00F074B1"/>
    <w:rsid w:val="00F13EC0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55A2B"/>
    <w:rsid w:val="00F5674A"/>
    <w:rsid w:val="00F64B6C"/>
    <w:rsid w:val="00F720EC"/>
    <w:rsid w:val="00F759BD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11BE"/>
    <w:rsid w:val="00FB454D"/>
    <w:rsid w:val="00FB4ADF"/>
    <w:rsid w:val="00FB7330"/>
    <w:rsid w:val="00FC10C4"/>
    <w:rsid w:val="00FC3DF3"/>
    <w:rsid w:val="00FC6981"/>
    <w:rsid w:val="00FD074A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868B8-348D-41D0-BAD7-9CA238D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5E9C-66F1-47F3-BB71-606865A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4</cp:revision>
  <cp:lastPrinted>2023-02-06T06:53:00Z</cp:lastPrinted>
  <dcterms:created xsi:type="dcterms:W3CDTF">2023-02-06T07:05:00Z</dcterms:created>
  <dcterms:modified xsi:type="dcterms:W3CDTF">2023-02-06T08:06:00Z</dcterms:modified>
</cp:coreProperties>
</file>