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Cs w:val="26"/>
        </w:rPr>
      </w:pPr>
      <w:r>
        <w:rPr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33730" cy="72009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  <w:br/>
        <w:t xml:space="preserve">ГОРОДА ПОЛЯРНЫЕ ЗОРИ </w:t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ПОДВЕДОМСТВЕННОЙ ТЕРРИТОРИЕЙ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«___»  ________  2019 г.</w:t>
      </w:r>
      <w:r>
        <w:rPr>
          <w:rFonts w:ascii="Times New Roman" w:hAnsi="Times New Roman"/>
          <w:i/>
          <w:sz w:val="28"/>
          <w:szCs w:val="28"/>
        </w:rPr>
        <w:tab/>
        <w:tab/>
        <w:tab/>
        <w:tab/>
        <w:tab/>
        <w:tab/>
        <w:t xml:space="preserve">         </w:t>
        <w:tab/>
        <w:tab/>
        <w:tab/>
        <w:tab/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№ 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304" w:right="1417" w:hanging="0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"Развитие </w:t>
      </w:r>
      <w:bookmarkStart w:id="0" w:name="__DdeLink__1847_1203944423"/>
      <w:r>
        <w:rPr>
          <w:rFonts w:ascii="Times New Roman" w:hAnsi="Times New Roman"/>
          <w:b/>
          <w:color w:val="000000"/>
          <w:sz w:val="26"/>
          <w:szCs w:val="26"/>
        </w:rPr>
        <w:t>информационно</w:t>
      </w:r>
      <w:bookmarkEnd w:id="0"/>
      <w:r>
        <w:rPr>
          <w:rFonts w:ascii="Times New Roman" w:hAnsi="Times New Roman"/>
          <w:b/>
          <w:color w:val="000000"/>
          <w:sz w:val="26"/>
          <w:szCs w:val="26"/>
        </w:rPr>
        <w:t>-коммуникационных технологий в органах местного самоуправления муниципального образования город Полярные Зори с подведомственной территорией", утвержденную  постановлением администрации города от 18.07.2014 № 836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>
      <w:pPr>
        <w:pStyle w:val="ConsPlusTitle"/>
        <w:widowControl/>
        <w:spacing w:lineRule="auto" w:line="360"/>
        <w:jc w:val="both"/>
        <w:rPr/>
      </w:pPr>
      <w:r>
        <w:rPr>
          <w:color w:val="000000"/>
          <w:sz w:val="20"/>
          <w:szCs w:val="20"/>
        </w:rPr>
        <w:tab/>
      </w:r>
      <w:r>
        <w:rPr>
          <w:b w:val="false"/>
          <w:bCs w:val="false"/>
          <w:color w:val="000000"/>
        </w:rPr>
        <w:t xml:space="preserve">В связи с приведением муниципальной программы в соответствии с бюджетом на 2019 год </w:t>
      </w:r>
      <w:r>
        <w:rPr>
          <w:color w:val="000000"/>
        </w:rPr>
        <w:t>п о с т а н о в л я ю: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1. Внести в муниципальную  программу  "Развитие информационно-коммуникационных технологий в органах местного самоуправления  муниципального образования город Полярные Зори с подведомственной территорией", утвержденную постановлением администрации города Полярные Зори от 18.07.2014 № 836 (в редакции постановления администрации города Полярные Зори от 22.05.2019 № 670), согласно приложению.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 официального опубликования.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  <w:tab/>
        <w:tab/>
        <w:tab/>
        <w:t xml:space="preserve">                    </w:t>
        <w:tab/>
        <w:t xml:space="preserve">        М.О. Пухов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2756535</wp:posOffset>
                </wp:positionH>
                <wp:positionV relativeFrom="paragraph">
                  <wp:posOffset>-83820</wp:posOffset>
                </wp:positionV>
                <wp:extent cx="447040" cy="55308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f" style="position:absolute;margin-left:217.05pt;margin-top:-6.6pt;width:35.1pt;height:43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0609" w:type="dxa"/>
        <w:jc w:val="left"/>
        <w:tblInd w:w="-70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5"/>
        <w:gridCol w:w="2182"/>
        <w:gridCol w:w="1991"/>
        <w:gridCol w:w="2523"/>
        <w:gridCol w:w="1418"/>
      </w:tblGrid>
      <w:tr>
        <w:trPr>
          <w:trHeight w:val="605" w:hRule="atLeast"/>
        </w:trPr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Шпигарь Н.С.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«____»______2019г.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2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С.Н.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«____»______2019г.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Захлевных А.В.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1 - в дело, 1 – прокуратура, 1– ОЭРиПР, 1- ФО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к 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>города Полярные Зори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>от __.___. 2019 № 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Изменения в муниципальную программу "Развитие информационно-коммуникационных технологий в органах местного самоуправления  муниципального образования город Полярные Зори с подведомственной территорией"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 В Паспорте программы строку «Объемы и источники финансирования изложить в следующей редакции: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tbl>
      <w:tblPr>
        <w:tblW w:w="9692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1"/>
        <w:gridCol w:w="6460"/>
      </w:tblGrid>
      <w:tr>
        <w:trPr>
          <w:trHeight w:val="959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</w:rPr>
              <w:t>Объемы и источники финансирования</w:t>
            </w:r>
          </w:p>
        </w:tc>
        <w:tc>
          <w:tcPr>
            <w:tcW w:w="6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2015 г. – 1062,0 тыс. руб. (МБ – 1050,6 тыс. руб.; ОБ – 11,4 тыс. руб.)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2016 г. – 811,4 тыс. руб. (МБ – 800,0 тыс. руб.; ОБ – 11,4 тыс. руб.)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2017 г. -  1063,0 тыс. руб. (МБ – 1050,0 тыс. руб., ОБ – 13,0)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2018 г. -  890,5 тыс. руб. (МБ – 882,9 тыс. руб., ОБ – 7,6)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2019 г. -  974,0 тыс. руб. (МБ – 971,3 тыс. руб., ОБ – 2,7)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2020 г. -  1378,0 тыс. руб. (МБ – 1374,3 тыс. руб., ОБ – 3,7)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всего: 6178,9 тыс. руб. (МБ – 6129,1 тыс. руб., ОБ – 49,8 тыс. руб.)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2. Первый абзац раздела 1 «Характеристика проблемы» изложить в следующей редакции: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1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Настоящая  муниципальная программа  "Развитие информационно-коммуникационных технологий в органах местного самоуправления  муниципального образования город Полярные Зори с подведомственной территорией" на 2015 – 2018 годы и на плановый период до 2020 года (далее – Программа) является продолжением работы по развитию информационно-коммуникационных технологий в органах местного самоуправления и направлена на реализацию мероприятий, предусмотренных в рамках Стратегии развития информационного общества в Российской Федерации на 2017-2030 годы. Программа определяет задачи в сфере применения информационных и коммуникационных технологий, направленные на развитие информационного общества, формирование цифровой экономики, обеспечение национальных интересов и реализацию стратегических национальных приоритетов на территории муниципального образования, принципы и направления информатизации органов   местного   самоупр</w:t>
      </w: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авления в   соответствии  с  задачами модернизации  муниципального  управления и социально-экономического развития  города, а также предусматривает этапы проведения процесса информатизации и мероприятия необходимые для реализации этого процесса.»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3.  Таблицу раздела 2 «Основные цели и задачи Программы, целевые показатели (индикаторы) реализации МП» изложить в следующей редакции:</w:t>
      </w:r>
      <w:bookmarkStart w:id="2" w:name="__UnoMark__32182_3297568379"/>
      <w:bookmarkStart w:id="3" w:name="__UnoMark__32188_3297568379"/>
      <w:bookmarkStart w:id="4" w:name="__UnoMark__32189_3297568379"/>
      <w:bookmarkStart w:id="5" w:name="__UnoMark__32190_3297568379"/>
      <w:bookmarkStart w:id="6" w:name="__UnoMark__32191_3297568379"/>
      <w:bookmarkEnd w:id="2"/>
      <w:bookmarkEnd w:id="3"/>
      <w:bookmarkEnd w:id="4"/>
      <w:bookmarkEnd w:id="5"/>
      <w:bookmarkEnd w:id="6"/>
    </w:p>
    <w:tbl>
      <w:tblPr>
        <w:tblW w:w="1007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4"/>
        <w:gridCol w:w="1841"/>
        <w:gridCol w:w="1289"/>
        <w:gridCol w:w="843"/>
        <w:gridCol w:w="19"/>
        <w:gridCol w:w="751"/>
        <w:gridCol w:w="6"/>
        <w:gridCol w:w="621"/>
        <w:gridCol w:w="761"/>
        <w:gridCol w:w="864"/>
        <w:gridCol w:w="869"/>
        <w:gridCol w:w="864"/>
        <w:gridCol w:w="861"/>
      </w:tblGrid>
      <w:tr>
        <w:trPr>
          <w:tblHeader w:val="true"/>
          <w:trHeight w:val="320" w:hRule="atLeast"/>
          <w:cantSplit w:val="true"/>
        </w:trPr>
        <w:tc>
          <w:tcPr>
            <w:tcW w:w="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 </w:t>
              <w:br/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Цель, задачи и 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показатели (индикаторы)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Ед. </w:t>
              <w:br/>
              <w:t>изм.</w:t>
            </w:r>
          </w:p>
        </w:tc>
        <w:tc>
          <w:tcPr>
            <w:tcW w:w="6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Значение показателя (индикатора)</w:t>
            </w:r>
          </w:p>
        </w:tc>
      </w:tr>
      <w:tr>
        <w:trPr>
          <w:tblHeader w:val="true"/>
          <w:trHeight w:val="480" w:hRule="atLeast"/>
          <w:cantSplit w:val="true"/>
        </w:trPr>
        <w:tc>
          <w:tcPr>
            <w:tcW w:w="4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48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Годы реализации программы</w:t>
            </w:r>
          </w:p>
        </w:tc>
      </w:tr>
      <w:tr>
        <w:trPr>
          <w:tblHeader w:val="true"/>
          <w:cantSplit w:val="true"/>
        </w:trPr>
        <w:tc>
          <w:tcPr>
            <w:tcW w:w="4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2020 </w:t>
            </w:r>
          </w:p>
        </w:tc>
      </w:tr>
      <w:tr>
        <w:trPr>
          <w:tblHeader w:val="true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          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3  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4    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5   </w:t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Цель:  повышение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 телекоммуникационных технологий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1.1 </w:t>
            </w:r>
          </w:p>
        </w:tc>
        <w:tc>
          <w:tcPr>
            <w:tcW w:w="95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Задача 1:   развитие и поддержка информационно-технической инфраструктуры ОМСУ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Обеспечение бесперебойной работы информационно-коммуникационной инфраструктуры ОМСУ (отсутствие замечаний при эксплуатации ИТИ: да – 1, нет-0)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Обновление организационной и компьютерной техники ОМСУ                   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% к общему кол-ву техники на начало отчетного года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Обновление лицензионного ПО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% к общему кол-ву техники на начало отчетного  года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1.2 </w:t>
            </w:r>
          </w:p>
        </w:tc>
        <w:tc>
          <w:tcPr>
            <w:tcW w:w="95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2:  развитие и поддержка специализированной информационной среды ОМСУ            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Поддержка специализированного ПО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% к установленному специализированному ПО на начало отчетного года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(% к закупаемому и (или) арендуемому ПО)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Использование отечественного программного обеспечение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% к установленному  ПО на начало отчетного года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Количество МНПА ОМСУ, направленных для включения в Регистр МНПА Мурманской области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Задача 3:  создание и развитие системы обеспечения защиты и безопасности данных, используемых для целей муниципального управления, прав граждан на защиту персональных данных и реализацию их законных интересов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Доля автоматизированных рабочих мест сотрудников, защищенных с использованием средств  защиты от утечки информации и искажения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% к общему количеству рабочих мест в сети на начало отчетного года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bookmarkStart w:id="7" w:name="__DdeLink__11445_2045483500"/>
            <w:r>
              <w:rPr>
                <w:rFonts w:cs="Times New Roman" w:ascii="Times New Roman" w:hAnsi="Times New Roman"/>
                <w:sz w:val="16"/>
                <w:szCs w:val="16"/>
              </w:rPr>
              <w:t>1.3.2</w:t>
            </w:r>
            <w:bookmarkEnd w:id="7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Обеспечение безопасности работы сети на канальном уровне (отсутствие простоев в работе ЛВС: да – 1, нет-0)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br w:type="page"/>
      </w:r>
      <w:r>
        <w:rPr>
          <w:rFonts w:ascii="Times New Roman" w:hAnsi="Times New Roman"/>
          <w:color w:val="000000"/>
          <w:sz w:val="26"/>
          <w:szCs w:val="26"/>
        </w:rPr>
        <w:t>4. Таблицу раздела 4 «Обоснование ресурсного обеспечения МП» изложить в следующей редакции: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10075" w:type="dxa"/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98"/>
        <w:gridCol w:w="200"/>
        <w:gridCol w:w="3011"/>
        <w:gridCol w:w="1"/>
        <w:gridCol w:w="992"/>
        <w:gridCol w:w="1"/>
        <w:gridCol w:w="867"/>
        <w:gridCol w:w="1"/>
        <w:gridCol w:w="848"/>
        <w:gridCol w:w="1"/>
        <w:gridCol w:w="987"/>
        <w:gridCol w:w="1"/>
        <w:gridCol w:w="1006"/>
        <w:gridCol w:w="1"/>
        <w:gridCol w:w="987"/>
        <w:gridCol w:w="1"/>
        <w:gridCol w:w="971"/>
      </w:tblGrid>
      <w:tr>
        <w:trPr>
          <w:tblHeader w:val="true"/>
          <w:trHeight w:val="480" w:hRule="atLeast"/>
          <w:cantSplit w:val="true"/>
        </w:trPr>
        <w:tc>
          <w:tcPr>
            <w:tcW w:w="340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Всего,  </w:t>
              <w:br/>
              <w:t>тыс. руб.</w:t>
            </w:r>
          </w:p>
        </w:tc>
        <w:tc>
          <w:tcPr>
            <w:tcW w:w="56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том числе по годам  </w:t>
              <w:br/>
              <w:t xml:space="preserve"> реализации, тыс. руб.</w:t>
            </w:r>
          </w:p>
        </w:tc>
      </w:tr>
      <w:tr>
        <w:trPr>
          <w:tblHeader w:val="true"/>
          <w:cantSplit w:val="true"/>
        </w:trPr>
        <w:tc>
          <w:tcPr>
            <w:tcW w:w="340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 год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2020 г.</w:t>
            </w:r>
          </w:p>
        </w:tc>
      </w:tr>
      <w:tr>
        <w:trPr>
          <w:tblHeader w:val="true"/>
        </w:trPr>
        <w:tc>
          <w:tcPr>
            <w:tcW w:w="3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3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Всего по МП (подпрограмме):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6178,9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1062,0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811,4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1063,0</w:t>
            </w: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890,5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1378,0</w:t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том числе за счет:             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средств бюджета муниципального образования город Полярные Зори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6129,1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1050,6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800,0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1050,0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882,9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971,3</w:t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1374,3</w:t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средств областного бюджета      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11,4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11,4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13,0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2,7</w:t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3,7</w:t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средств федерального бюджета    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внебюджетных средств            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588" w:right="1134" w:header="72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Приложение к муниципальной программе «Перечень программных мероприятий» изложить в следующей редакции: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«Приложение</w:t>
      </w:r>
    </w:p>
    <w:p>
      <w:pPr>
        <w:pStyle w:val="Normal"/>
        <w:widowControl w:val="false"/>
        <w:spacing w:lineRule="auto" w:line="360" w:before="0" w:after="0"/>
        <w:ind w:firstLine="709"/>
        <w:jc w:val="right"/>
        <w:rPr>
          <w:color w:val="FF0000"/>
        </w:rPr>
      </w:pPr>
      <w:r>
        <w:rPr>
          <w:rFonts w:ascii="Times New Roman" w:hAnsi="Times New Roman"/>
          <w:color w:val="000001"/>
          <w:sz w:val="26"/>
          <w:szCs w:val="26"/>
        </w:rPr>
        <w:t>к муниципальной программе</w:t>
      </w:r>
    </w:p>
    <w:p>
      <w:pPr>
        <w:pStyle w:val="Normal"/>
        <w:keepNext w:val="true"/>
        <w:keepLines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Перечень программных мероприятий</w:t>
      </w:r>
    </w:p>
    <w:tbl>
      <w:tblPr>
        <w:tblW w:w="14686" w:type="dxa"/>
        <w:jc w:val="left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74" w:type="dxa"/>
        </w:tblCellMar>
        <w:tblLook w:firstRow="0" w:noVBand="0" w:lastRow="0" w:firstColumn="0" w:lastColumn="0" w:noHBand="0" w:val="0000"/>
      </w:tblPr>
      <w:tblGrid>
        <w:gridCol w:w="352"/>
        <w:gridCol w:w="184"/>
        <w:gridCol w:w="1417"/>
        <w:gridCol w:w="993"/>
        <w:gridCol w:w="1367"/>
        <w:gridCol w:w="738"/>
        <w:gridCol w:w="576"/>
        <w:gridCol w:w="658"/>
        <w:gridCol w:w="777"/>
        <w:gridCol w:w="692"/>
        <w:gridCol w:w="662"/>
        <w:gridCol w:w="646"/>
        <w:gridCol w:w="3"/>
        <w:gridCol w:w="1464"/>
        <w:gridCol w:w="249"/>
        <w:gridCol w:w="412"/>
        <w:gridCol w:w="3"/>
        <w:gridCol w:w="452"/>
        <w:gridCol w:w="3"/>
        <w:gridCol w:w="460"/>
        <w:gridCol w:w="3"/>
        <w:gridCol w:w="452"/>
        <w:gridCol w:w="3"/>
        <w:gridCol w:w="459"/>
        <w:gridCol w:w="2"/>
        <w:gridCol w:w="485"/>
        <w:gridCol w:w="3"/>
        <w:gridCol w:w="32"/>
        <w:gridCol w:w="1135"/>
      </w:tblGrid>
      <w:tr>
        <w:trPr>
          <w:tblHeader w:val="true"/>
          <w:trHeight w:val="800" w:hRule="atLeast"/>
        </w:trPr>
        <w:tc>
          <w:tcPr>
            <w:tcW w:w="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 </w:t>
              <w:br/>
              <w:t>п/п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Цель, задачи, программные</w:t>
              <w:br/>
              <w:t xml:space="preserve">      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Срок   </w:t>
              <w:br/>
              <w:t>выполнения</w:t>
              <w:br/>
              <w:t>(квартал, год)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Источники   </w:t>
              <w:br/>
              <w:t>финансирования*</w:t>
            </w:r>
          </w:p>
        </w:tc>
        <w:tc>
          <w:tcPr>
            <w:tcW w:w="47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Объемы        </w:t>
              <w:br/>
              <w:t xml:space="preserve">   финансирования,   </w:t>
              <w:br/>
              <w:t xml:space="preserve">      тыс. руб.</w:t>
            </w:r>
          </w:p>
        </w:tc>
        <w:tc>
          <w:tcPr>
            <w:tcW w:w="448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Показатели (индикаторы)   </w:t>
              <w:br/>
              <w:t xml:space="preserve"> результативности выполнения </w:t>
              <w:br/>
              <w:t xml:space="preserve">   программных мероприятий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>
        <w:trPr>
          <w:tblHeader w:val="true"/>
          <w:trHeight w:val="480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Наименование,</w:t>
              <w:br/>
              <w:t>ед. измерения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    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3    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5  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6  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7 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11  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10  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12  </w:t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13     </w:t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33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Цель:    повышение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</w:t>
            </w:r>
          </w:p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телекоммуникационных технологий                                                                                                     </w:t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33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№ 1 «Развитие информационно-коммуникационных технологий в органах местного самоуправления муниципального образования город Полярные Зори с подведомственной территорией и обеспечение защиты и безопасности данных»</w:t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433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Задача 1: развитие и поддержка информационно-технической инфраструктуры ОМСУ                                                                                                          </w:t>
            </w:r>
          </w:p>
        </w:tc>
      </w:tr>
      <w:tr>
        <w:trPr>
          <w:trHeight w:val="1255" w:hRule="atLeast"/>
        </w:trPr>
        <w:tc>
          <w:tcPr>
            <w:tcW w:w="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Поддержка АРМ, серверного и сетевого оборудования в рабочем актуальном состоянии, в т.ч.: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приобретение нового серверного оборудования (регламентированное техническое обслуживание);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устаревшего оборудования;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вышедшего из строя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226,9</w:t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79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 ОМСУ (отсутствие замечаний при эксплуатации ИТИ: да – 1, нет-0)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092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Обновление организационной и компьютерной техники ОМСУ (% к общему кол-ву техники)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84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Обновление лицензионного ПО (% к общему кол-ву техники)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72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Итого по задаче 1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226,9,0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79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433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Задача 2: развитие и поддержка специализированной информационной среды ОМСУ                                                                                                                      </w:t>
            </w:r>
          </w:p>
        </w:tc>
      </w:tr>
      <w:tr>
        <w:trPr>
          <w:trHeight w:val="516" w:hRule="atLeast"/>
        </w:trPr>
        <w:tc>
          <w:tcPr>
            <w:tcW w:w="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Приобретение нового программного обеспечения для организации рабочего процесса и обновления уже используемого,  в том числе продление лицензионных соглашений на использование программных комплексов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1397,4</w:t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353,2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285,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211,0</w:t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374,3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Поддержка специализированного ПО (%)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128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структурных подразделений, включенных в систему электронного документооборота  (шт.)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128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Использование отечественного ПО (% к используемому ПО)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Обеспечение функционирования официального сайта ОМСУ, сайта официального опубликования, сайта муниципальных финансов и других информационных ресурсов ОМСУ, размещенных в сети Интернет              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БЮДЖЕТ</w:t>
              <w:br/>
              <w:t xml:space="preserve">     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136,8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065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Софинансирование программного мероприятия АРМ «Муниципал»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МНПА ОМСУ, направленных для включения в Регистр МНПА Мурманской области 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Обслуживание АРМ «Муниципал»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областной бюджет    </w:t>
              <w:br/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74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Итого по задаче 2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    </w:t>
              <w:br/>
              <w:t xml:space="preserve">       в т.ч.:</w:t>
              <w:br/>
              <w:t xml:space="preserve">МБ            </w:t>
              <w:br/>
              <w:t xml:space="preserve">ОБ            </w:t>
              <w:br/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1595,5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FF0000"/>
                <w:sz w:val="16"/>
                <w:szCs w:val="16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1545,7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166,0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144,2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132,8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373,2,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360,2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306,0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,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298,4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0,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218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ConsPlusCel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385,1,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381,4</w:t>
            </w:r>
          </w:p>
          <w:p>
            <w:pPr>
              <w:pStyle w:val="ConsPlusCel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33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Задача 3: создание и развитие системы обеспечения защиты и безопасности данных, используемых для целей муниципального управления, прав граждан на защиту персональных данных и реализацию их законных интересов</w:t>
            </w:r>
          </w:p>
        </w:tc>
      </w:tr>
      <w:tr>
        <w:trPr>
          <w:trHeight w:val="1623" w:hRule="atLeast"/>
        </w:trPr>
        <w:tc>
          <w:tcPr>
            <w:tcW w:w="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Реализация мероприятий, направленных на исполнение требований Федерального Закона от 27.07.2006 г. № 152-ФЗ «О персональных данных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1816,9</w:t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540,0</w:t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500,8</w:t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257,6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298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Доля автоматизированных рабочих мест сотрудников, защищенных с использованием средств защиты от утечки информации и искажения(% к общему количеству рабочих мест в сети на начало отчетного года)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623" w:hRule="atLeast"/>
        </w:trPr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6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/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защищенных АРМ (% от количества АРМ подлежащих защите)</w:t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76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Приобретение и продление электронных цифровых подписей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МЕСТНЫЙ БЮДЖЕТ      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76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Реализация мероприятий, направленных на защиту информации, содержащей сведения, составляющие государственную тайну,  от утечки по техническим каналам связи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1860,4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177,9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370,8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354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640,0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Итого по задаче 3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3748,3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741,5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607,5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642,4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417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813,0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0" w:hRule="atLeast"/>
        </w:trPr>
        <w:tc>
          <w:tcPr>
            <w:tcW w:w="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 по Программе,      </w:t>
              <w:br/>
              <w:t xml:space="preserve">                  в т.ч.: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6178,9</w:t>
            </w:r>
          </w:p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spacing w:lineRule="auto" w:line="24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6129,1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1062,0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1050,6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811,4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1063,0,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1050,0,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890,5,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,9,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974,0,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971,3,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1378,0,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1374,3,</w:t>
            </w:r>
          </w:p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муниципальные услуги    </w:t>
              <w:br/>
              <w:t xml:space="preserve">(работы)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     </w:t>
              <w:br/>
              <w:t xml:space="preserve">...           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публичные обязательства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     </w:t>
              <w:br/>
              <w:t xml:space="preserve">...           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мероприятия по          </w:t>
              <w:br/>
              <w:t xml:space="preserve">содержанию имущества   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     </w:t>
              <w:br/>
              <w:t xml:space="preserve">...           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иные мероприятия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Всего:        </w:t>
              <w:br/>
              <w:t xml:space="preserve">...           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Cell"/>
              <w:snapToGrid w:val="fals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</w:tr>
    </w:tbl>
    <w:p>
      <w:pPr>
        <w:pStyle w:val="Normal"/>
        <w:widowControl/>
        <w:suppressAutoHyphens w:val="false"/>
        <w:overflowPunct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orient="landscape" w:w="15840" w:h="12240"/>
      <w:pgMar w:left="1134" w:right="672" w:header="720" w:top="1588" w:footer="0" w:bottom="56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cs="Times New Roman"/>
      <w:b w:val="false"/>
      <w:color w:val="000000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Верхний колонтитул Знак"/>
    <w:qFormat/>
    <w:rPr>
      <w:rFonts w:cs="Times New Roman"/>
    </w:rPr>
  </w:style>
  <w:style w:type="character" w:styleId="Style14" w:customStyle="1">
    <w:name w:val="Нижний колонтитул Знак"/>
    <w:qFormat/>
    <w:rPr>
      <w:rFonts w:cs="Times New Roman"/>
    </w:rPr>
  </w:style>
  <w:style w:type="character" w:styleId="Style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0"/>
      <w:szCs w:val="20"/>
    </w:rPr>
  </w:style>
  <w:style w:type="character" w:styleId="Style16" w:customStyle="1">
    <w:name w:val="Название Знак"/>
    <w:qFormat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3 Знак"/>
    <w:qFormat/>
    <w:rPr>
      <w:rFonts w:cs="Times New Roman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spacing w:lineRule="auto" w:line="240" w:before="0" w:after="0"/>
      <w:jc w:val="center"/>
    </w:pPr>
    <w:rPr>
      <w:rFonts w:ascii="Times New Roman" w:hAnsi="Times New Roman"/>
      <w:sz w:val="20"/>
      <w:szCs w:val="20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pPr>
      <w:widowControl w:val="false"/>
      <w:overflowPunct w:val="fals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zh-CN" w:bidi="ar-SA"/>
    </w:rPr>
  </w:style>
  <w:style w:type="paragraph" w:styleId="Style22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Cell" w:customStyle="1">
    <w:name w:val="ConsPlusCell"/>
    <w:qFormat/>
    <w:pPr>
      <w:widowControl/>
      <w:overflowPunct w:val="fals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6"/>
      <w:szCs w:val="26"/>
      <w:lang w:val="ru-RU" w:eastAsia="zh-C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4" w:customStyle="1">
    <w:name w:val="Абзац"/>
    <w:basedOn w:val="BodyText3"/>
    <w:qFormat/>
    <w:pPr>
      <w:spacing w:lineRule="exact" w:line="340" w:before="0" w:after="0"/>
      <w:ind w:firstLine="567"/>
      <w:jc w:val="both"/>
    </w:pPr>
    <w:rPr>
      <w:rFonts w:ascii="Times New Roman" w:hAnsi="Times New Roman"/>
      <w:sz w:val="26"/>
      <w:szCs w:val="20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LibreOffice/6.1.2.1$Windows_X86_64 LibreOffice_project/65905a128db06ba48db947242809d14d3f9a93fe</Application>
  <Pages>9</Pages>
  <Words>1465</Words>
  <Characters>9179</Characters>
  <CharactersWithSpaces>11227</CharactersWithSpaces>
  <Paragraphs>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2019-12-25T13:39:00Z</dcterms:created>
  <dc:creator>PopovaE</dc:creator>
  <dc:description/>
  <dc:language>ru-RU</dc:language>
  <cp:lastModifiedBy/>
  <cp:lastPrinted>2019-11-15T11:44:00Z</cp:lastPrinted>
  <dcterms:modified xsi:type="dcterms:W3CDTF">2019-12-27T11:16:22Z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